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C8" w:rsidRPr="004471C8" w:rsidRDefault="004471C8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71C8">
        <w:rPr>
          <w:rFonts w:ascii="Arial" w:hAnsi="Arial" w:cs="Arial"/>
          <w:b/>
          <w:sz w:val="24"/>
          <w:szCs w:val="24"/>
        </w:rPr>
        <w:t>Estrategias docentes para un aprendizaje significativo una interpretación constructivista.</w:t>
      </w:r>
    </w:p>
    <w:p w:rsidR="000E6937" w:rsidRDefault="004471C8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71C8">
        <w:rPr>
          <w:rFonts w:ascii="Arial" w:hAnsi="Arial" w:cs="Arial"/>
          <w:b/>
          <w:sz w:val="24"/>
          <w:szCs w:val="24"/>
        </w:rPr>
        <w:t>Frida Díaz-Barriga Arceo, Gerardo Hernández Rojas.</w:t>
      </w:r>
    </w:p>
    <w:p w:rsidR="004471C8" w:rsidRDefault="00F45DCD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profesor constructivista es</w:t>
      </w:r>
      <w:r w:rsidRPr="00F45DCD">
        <w:rPr>
          <w:rFonts w:ascii="Arial" w:hAnsi="Arial" w:cs="Arial"/>
          <w:sz w:val="24"/>
          <w:szCs w:val="24"/>
        </w:rPr>
        <w:t xml:space="preserve"> un mediador entre el conocimiento y el aprendizaje de sus alumnos, comparte experiencias y saberes en un proceso de negociación o construcción conjunta (co-construcción) del conocimiento.</w:t>
      </w:r>
      <w:r>
        <w:rPr>
          <w:rFonts w:ascii="Arial" w:hAnsi="Arial" w:cs="Arial"/>
          <w:sz w:val="24"/>
          <w:szCs w:val="24"/>
        </w:rPr>
        <w:t xml:space="preserve"> Este profesor debe de contar con las siguientes competencias docentes, debe promover aprendizajes significativos</w:t>
      </w:r>
      <w:r w:rsidR="00DB17EB">
        <w:rPr>
          <w:rFonts w:ascii="Arial" w:hAnsi="Arial" w:cs="Arial"/>
          <w:sz w:val="24"/>
          <w:szCs w:val="24"/>
        </w:rPr>
        <w:t xml:space="preserve"> para que sus niños puedan aplicarlos dentro de lo que es su contexto; tiene que ser reflexivo para darse cuenta de su quehacer docente, sus debilidades y fortalezas tanto de su persona como profesional y de sus alumnos; tiene que prestar ayuda pedagógica ajustada a las necesidades e intereses de sus alumnos y debe establecer como meta la autonomía y autodirección del alumno.</w:t>
      </w:r>
    </w:p>
    <w:p w:rsidR="00DB17EB" w:rsidRDefault="00DB17EB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enseñanza es un p</w:t>
      </w:r>
      <w:r w:rsidRPr="00DB17EB">
        <w:rPr>
          <w:rFonts w:ascii="Arial" w:hAnsi="Arial" w:cs="Arial"/>
          <w:sz w:val="24"/>
          <w:szCs w:val="24"/>
        </w:rPr>
        <w:t>roceso que pretende apoyar o, si se prefiere el término ‘andamiar’ el logro de aprendizajes significativos</w:t>
      </w:r>
      <w:r>
        <w:rPr>
          <w:rFonts w:ascii="Arial" w:hAnsi="Arial" w:cs="Arial"/>
          <w:sz w:val="24"/>
          <w:szCs w:val="24"/>
        </w:rPr>
        <w:t>.</w:t>
      </w:r>
    </w:p>
    <w:p w:rsidR="00DB17EB" w:rsidRDefault="00DB17EB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estrategia enseñanza son </w:t>
      </w:r>
      <w:r w:rsidRPr="00DB17EB">
        <w:rPr>
          <w:rFonts w:ascii="Arial" w:hAnsi="Arial" w:cs="Arial"/>
          <w:sz w:val="24"/>
          <w:szCs w:val="24"/>
        </w:rPr>
        <w:t>procedimientos que el agente de enseñanza utiliza en forma reflexiva y flexible para promover el logro de aprendizajes significativos. (Mayer, 1984; Shuell, 1988, Farmer y Wolff, 1991)</w:t>
      </w:r>
      <w:r>
        <w:rPr>
          <w:rFonts w:ascii="Arial" w:hAnsi="Arial" w:cs="Arial"/>
          <w:sz w:val="24"/>
          <w:szCs w:val="24"/>
        </w:rPr>
        <w:t>.</w:t>
      </w:r>
    </w:p>
    <w:p w:rsidR="00282265" w:rsidRDefault="00DB17EB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llevarlas a cabo tiene que tomar en cuenta algunos aspectos esenciales para elegirlas, por ejemplo, debe considerar las características generales de los aprendices, debe conocer el tipo de dominio </w:t>
      </w:r>
      <w:r w:rsidRPr="00DB17EB">
        <w:rPr>
          <w:rFonts w:ascii="Arial" w:hAnsi="Arial" w:cs="Arial"/>
          <w:sz w:val="24"/>
          <w:szCs w:val="24"/>
        </w:rPr>
        <w:t>del conocimiento en general y del contenido curricular en particular, que se va a abordar</w:t>
      </w:r>
      <w:r>
        <w:rPr>
          <w:rFonts w:ascii="Arial" w:hAnsi="Arial" w:cs="Arial"/>
          <w:sz w:val="24"/>
          <w:szCs w:val="24"/>
        </w:rPr>
        <w:t>.</w:t>
      </w:r>
      <w:r w:rsidR="00282265">
        <w:rPr>
          <w:rFonts w:ascii="Arial" w:hAnsi="Arial" w:cs="Arial"/>
          <w:sz w:val="24"/>
          <w:szCs w:val="24"/>
        </w:rPr>
        <w:t xml:space="preserve"> Sacer la</w:t>
      </w:r>
      <w:r w:rsidRPr="00DB17EB">
        <w:rPr>
          <w:rFonts w:ascii="Arial" w:hAnsi="Arial" w:cs="Arial"/>
          <w:sz w:val="24"/>
          <w:szCs w:val="24"/>
        </w:rPr>
        <w:t xml:space="preserve"> intencionalidad o meta que se desea lograr y las actividades cognitivas y pedagógicas que debe realizar el alumno para conseguirlo</w:t>
      </w:r>
      <w:r w:rsidR="00282265">
        <w:rPr>
          <w:rFonts w:ascii="Arial" w:hAnsi="Arial" w:cs="Arial"/>
          <w:sz w:val="24"/>
          <w:szCs w:val="24"/>
        </w:rPr>
        <w:t>. Tiene que tener una</w:t>
      </w:r>
      <w:r w:rsidR="00282265" w:rsidRPr="00282265">
        <w:rPr>
          <w:rFonts w:ascii="Arial" w:hAnsi="Arial" w:cs="Arial"/>
          <w:sz w:val="24"/>
          <w:szCs w:val="24"/>
        </w:rPr>
        <w:t xml:space="preserve"> intencionalidad o meta que se desea lograr y las actividades cognitivas y pedagógicas que debe realizar el alumno para conseguirlo</w:t>
      </w:r>
      <w:r w:rsidR="00282265">
        <w:rPr>
          <w:rFonts w:ascii="Arial" w:hAnsi="Arial" w:cs="Arial"/>
          <w:sz w:val="24"/>
          <w:szCs w:val="24"/>
        </w:rPr>
        <w:t xml:space="preserve"> y debe determinar</w:t>
      </w:r>
      <w:r w:rsidR="00282265" w:rsidRPr="00282265">
        <w:rPr>
          <w:rFonts w:ascii="Arial" w:hAnsi="Arial" w:cs="Arial"/>
          <w:sz w:val="24"/>
          <w:szCs w:val="24"/>
        </w:rPr>
        <w:t xml:space="preserve"> del contexto intersubjetivo (conocimiento ya compartido) creado con los alumnos hasta ese momento, si es el caso</w:t>
      </w:r>
      <w:r w:rsidR="00282265">
        <w:rPr>
          <w:rFonts w:ascii="Arial" w:hAnsi="Arial" w:cs="Arial"/>
          <w:sz w:val="24"/>
          <w:szCs w:val="24"/>
        </w:rPr>
        <w:t>.</w:t>
      </w:r>
    </w:p>
    <w:p w:rsidR="00282265" w:rsidRDefault="00282265" w:rsidP="0077522D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estrategias de enseñanza deben de contener los siguientes aspectos:</w:t>
      </w:r>
    </w:p>
    <w:p w:rsid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-Objetivos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lastRenderedPageBreak/>
        <w:t>Son enunciados que establecen condiciones, tipo de actividad y forma de evaluación del aprendizaje del alumno. Como estrategias de enseñanza compartidas con los alumnos generan expectativas apropiadas.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-Resúmenes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 w:rsidRPr="00282265">
        <w:rPr>
          <w:rFonts w:ascii="Arial" w:hAnsi="Arial" w:cs="Arial"/>
          <w:sz w:val="24"/>
          <w:szCs w:val="24"/>
        </w:rPr>
        <w:t xml:space="preserve"> resumen es una síntesis y abstracción de la información relevante de un discurso oral o escrito. Enfatizan conceptos clave, principios y argumento central.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-Organizadores previos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Ayudan a que </w:t>
      </w:r>
      <w:r w:rsidRPr="00282265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 sea de </w:t>
      </w:r>
      <w:r w:rsidRPr="00282265">
        <w:rPr>
          <w:rFonts w:ascii="Arial" w:hAnsi="Arial" w:cs="Arial"/>
          <w:sz w:val="24"/>
          <w:szCs w:val="24"/>
        </w:rPr>
        <w:t xml:space="preserve"> tipo introductorio y contextual. Tienden un  puente cognitivo entre la información nueva y la previa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-Ilustraciones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re</w:t>
      </w:r>
      <w:r w:rsidRPr="00282265">
        <w:rPr>
          <w:rFonts w:ascii="Arial" w:hAnsi="Arial" w:cs="Arial"/>
          <w:sz w:val="24"/>
          <w:szCs w:val="24"/>
        </w:rPr>
        <w:t>presentaciones visuales de objetos o situaciones sobre una teoría o tema específico (fotografías, dibujos, dramatizaciones, etcétera)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-Organizadores gráficos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>Son Representaciones visuales de conceptos, explicaciones o patrones de información.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-Analogías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>Son proposiciones que indican que una cosa o evento (concreto y familiar)  es semejante a otro (desconocido y abstracto o completo).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-Preguntas intercaladas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>Son preguntas insertadas en la situación de enseñanza o en un texto. Mantienen la atención y favorecen la práctica, la retención y la obtención de información relevante.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-Señalizaciones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>Son señalamientos que se hacen en un texto o en la situación de enseñanza para enfatizar u organizar elementos relevantes del contenido por aprender.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lastRenderedPageBreak/>
        <w:t>-Mapas y redes conceptuales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 xml:space="preserve">Son </w:t>
      </w:r>
      <w:r>
        <w:rPr>
          <w:rFonts w:ascii="Arial" w:hAnsi="Arial" w:cs="Arial"/>
          <w:sz w:val="24"/>
          <w:szCs w:val="24"/>
        </w:rPr>
        <w:t>r</w:t>
      </w:r>
      <w:r w:rsidRPr="00282265">
        <w:rPr>
          <w:rFonts w:ascii="Arial" w:hAnsi="Arial" w:cs="Arial"/>
          <w:sz w:val="24"/>
          <w:szCs w:val="24"/>
        </w:rPr>
        <w:t>epresentaciones gráficas de esquemas de conocimiento (indican conceptos, proposiciones y explicaciones).</w:t>
      </w:r>
    </w:p>
    <w:p w:rsidR="00282265" w:rsidRPr="00282265" w:rsidRDefault="00282265" w:rsidP="007752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2265">
        <w:rPr>
          <w:rFonts w:ascii="Arial" w:hAnsi="Arial" w:cs="Arial"/>
          <w:b/>
          <w:sz w:val="24"/>
          <w:szCs w:val="24"/>
        </w:rPr>
        <w:t>-Organizadores textuales</w:t>
      </w:r>
    </w:p>
    <w:p w:rsidR="00282265" w:rsidRDefault="00282265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265">
        <w:rPr>
          <w:rFonts w:ascii="Arial" w:hAnsi="Arial" w:cs="Arial"/>
          <w:sz w:val="24"/>
          <w:szCs w:val="24"/>
        </w:rPr>
        <w:t xml:space="preserve">Son </w:t>
      </w:r>
      <w:r>
        <w:rPr>
          <w:rFonts w:ascii="Arial" w:hAnsi="Arial" w:cs="Arial"/>
          <w:sz w:val="24"/>
          <w:szCs w:val="24"/>
        </w:rPr>
        <w:t>o</w:t>
      </w:r>
      <w:r w:rsidRPr="00282265">
        <w:rPr>
          <w:rFonts w:ascii="Arial" w:hAnsi="Arial" w:cs="Arial"/>
          <w:sz w:val="24"/>
          <w:szCs w:val="24"/>
        </w:rPr>
        <w:t>rganizaciones retóricas de un discurso que influyen en la comprensión y el recuerdo.</w:t>
      </w:r>
    </w:p>
    <w:p w:rsidR="00282265" w:rsidRPr="00F45DCD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711C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4FF0B144" wp14:editId="5FCD61F5">
            <wp:simplePos x="0" y="0"/>
            <wp:positionH relativeFrom="margin">
              <wp:align>right</wp:align>
            </wp:positionH>
            <wp:positionV relativeFrom="paragraph">
              <wp:posOffset>564515</wp:posOffset>
            </wp:positionV>
            <wp:extent cx="5143500" cy="2857275"/>
            <wp:effectExtent l="0" t="0" r="0" b="635"/>
            <wp:wrapSquare wrapText="bothSides"/>
            <wp:docPr id="5" name="Imagen 5" descr="C:\Users\Lilian\Desktop\dia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lian\Desktop\diap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5" t="22632" r="4243" b="9462"/>
                    <a:stretch/>
                  </pic:blipFill>
                  <pic:spPr bwMode="auto">
                    <a:xfrm>
                      <a:off x="0" y="0"/>
                      <a:ext cx="5143500" cy="28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    </w:t>
      </w:r>
      <w:r w:rsidR="00282265">
        <w:rPr>
          <w:rFonts w:ascii="Arial" w:hAnsi="Arial" w:cs="Arial"/>
          <w:sz w:val="24"/>
          <w:szCs w:val="24"/>
        </w:rPr>
        <w:t xml:space="preserve">Estas estrategias se </w:t>
      </w:r>
      <w:r>
        <w:rPr>
          <w:rFonts w:ascii="Arial" w:hAnsi="Arial" w:cs="Arial"/>
          <w:sz w:val="24"/>
          <w:szCs w:val="24"/>
        </w:rPr>
        <w:t xml:space="preserve">clasifican por momento de uso y presentación, esto se organiza de la siguiente forma: </w:t>
      </w:r>
    </w:p>
    <w:p w:rsid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711C" w:rsidRPr="00C3711C" w:rsidRDefault="00C3711C" w:rsidP="007752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265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C3711C" w:rsidRPr="0077522D">
        <w:rPr>
          <w:rFonts w:ascii="Arial" w:hAnsi="Arial" w:cs="Arial"/>
          <w:b/>
          <w:sz w:val="24"/>
          <w:szCs w:val="24"/>
        </w:rPr>
        <w:t>Estrategias Preinstruccionles:</w:t>
      </w:r>
      <w:r w:rsidR="00C3711C">
        <w:rPr>
          <w:rFonts w:ascii="Arial" w:hAnsi="Arial" w:cs="Arial"/>
          <w:sz w:val="24"/>
          <w:szCs w:val="24"/>
        </w:rPr>
        <w:t xml:space="preserve"> </w:t>
      </w:r>
      <w:r w:rsidRPr="0077522D">
        <w:rPr>
          <w:rFonts w:ascii="Arial" w:hAnsi="Arial" w:cs="Arial"/>
          <w:sz w:val="24"/>
          <w:szCs w:val="24"/>
        </w:rPr>
        <w:t>Preparan y alertan al estudiante en relación con qué y cómo va a aprender; esencialmente tratan de incidir en la activación o generación de conocimientos y experiencias previas pertinentes.</w:t>
      </w:r>
      <w:r>
        <w:rPr>
          <w:rFonts w:ascii="Arial" w:hAnsi="Arial" w:cs="Arial"/>
          <w:sz w:val="24"/>
          <w:szCs w:val="24"/>
        </w:rPr>
        <w:t xml:space="preserve"> </w:t>
      </w:r>
      <w:r w:rsidRPr="0077522D">
        <w:rPr>
          <w:rFonts w:ascii="Arial" w:hAnsi="Arial" w:cs="Arial"/>
          <w:sz w:val="24"/>
          <w:szCs w:val="24"/>
        </w:rPr>
        <w:t>Sirven para que el aprendizaje se ubique en el contexto conceptual apropiado y para que genere expectativas adecuadas.</w:t>
      </w:r>
      <w:r>
        <w:rPr>
          <w:rFonts w:ascii="Arial" w:hAnsi="Arial" w:cs="Arial"/>
          <w:sz w:val="24"/>
          <w:szCs w:val="24"/>
        </w:rPr>
        <w:t xml:space="preserve"> </w:t>
      </w:r>
      <w:r w:rsidRPr="0077522D">
        <w:rPr>
          <w:rFonts w:ascii="Arial" w:hAnsi="Arial" w:cs="Arial"/>
          <w:sz w:val="24"/>
          <w:szCs w:val="24"/>
        </w:rPr>
        <w:t>Algunas de las estrategias preinstruccionales más típicas son los objetivos y los organizadores previos</w:t>
      </w:r>
      <w:r>
        <w:rPr>
          <w:rFonts w:ascii="Arial" w:hAnsi="Arial" w:cs="Arial"/>
          <w:sz w:val="24"/>
          <w:szCs w:val="24"/>
        </w:rPr>
        <w:t>.</w:t>
      </w:r>
    </w:p>
    <w:p w:rsid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 xml:space="preserve">*Estrategias coinstruccionales: </w:t>
      </w:r>
      <w:r w:rsidRPr="0077522D">
        <w:rPr>
          <w:rFonts w:ascii="Arial" w:hAnsi="Arial" w:cs="Arial"/>
          <w:sz w:val="24"/>
          <w:szCs w:val="24"/>
        </w:rPr>
        <w:t xml:space="preserve">Algunas de las estrategias preinstruccionales más típicas son los objetivos y los organizadores previos. 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sz w:val="24"/>
          <w:szCs w:val="24"/>
        </w:rPr>
        <w:lastRenderedPageBreak/>
        <w:t>Cubren funciones para que el aprendiz mejore la atención e igualmente detecte la información principal, logre una mejor codificación y conceptualización de los contenidos de aprendizaje, y organice, estructure e interrelacione las ideas importantes.</w:t>
      </w:r>
    </w:p>
    <w:p w:rsid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sz w:val="24"/>
          <w:szCs w:val="24"/>
        </w:rPr>
        <w:t>Se trata de funciones relacionadas con el logro de un aprendizaje con comprensión (Shuell, 1988). Aquí pueden incluirse estrategias como ilustraciones, redes y mapas conceptuales, analogías y cuadros C-Q-A entre otras.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>*Estrategias postinstruccionles: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522D">
        <w:rPr>
          <w:rFonts w:ascii="Arial" w:hAnsi="Arial" w:cs="Arial"/>
          <w:sz w:val="24"/>
          <w:szCs w:val="24"/>
        </w:rPr>
        <w:t>Se presentan al término del episodio de enseñanza y permiten al alumno formar una visión sintética, integradora e incluso crítica del material.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sz w:val="24"/>
          <w:szCs w:val="24"/>
        </w:rPr>
        <w:t>En otros casos, inclusive le permiten al alumno, valorar su propio aprendizaje.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522D">
        <w:rPr>
          <w:rFonts w:ascii="Arial" w:hAnsi="Arial" w:cs="Arial"/>
          <w:sz w:val="24"/>
          <w:szCs w:val="24"/>
        </w:rPr>
        <w:t>Algunas de las estrategias postinstruccionales más reconocidas son resúmenes finales, organizadores gráficos (cuadros sinópticos simples y de doble columna), redes y mapas conceptuales.</w:t>
      </w:r>
    </w:p>
    <w:p w:rsid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22D" w:rsidRDefault="0077522D" w:rsidP="0077522D">
      <w:pPr>
        <w:tabs>
          <w:tab w:val="left" w:pos="16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7522D" w:rsidRP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7522D" w:rsidRP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>Borges Hernández Estephany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>2°II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>Desarrollo de Competencias Lingüísticas</w:t>
      </w:r>
    </w:p>
    <w:p w:rsidR="0077522D" w:rsidRPr="0077522D" w:rsidRDefault="0077522D" w:rsidP="0077522D">
      <w:pPr>
        <w:tabs>
          <w:tab w:val="left" w:pos="1650"/>
        </w:tabs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7522D">
        <w:rPr>
          <w:rFonts w:ascii="Arial" w:hAnsi="Arial" w:cs="Arial"/>
          <w:b/>
          <w:sz w:val="24"/>
          <w:szCs w:val="24"/>
        </w:rPr>
        <w:t>Profe: Pedro Manuel Ballote Sánchez</w:t>
      </w:r>
    </w:p>
    <w:sectPr w:rsidR="0077522D" w:rsidRPr="00775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C8"/>
    <w:rsid w:val="000E6937"/>
    <w:rsid w:val="00282265"/>
    <w:rsid w:val="004471C8"/>
    <w:rsid w:val="0077522D"/>
    <w:rsid w:val="00C3711C"/>
    <w:rsid w:val="00DB17EB"/>
    <w:rsid w:val="00F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0B0D-06C3-46C2-A306-716CAFFB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</cp:lastModifiedBy>
  <cp:revision>1</cp:revision>
  <dcterms:created xsi:type="dcterms:W3CDTF">2013-06-23T01:41:00Z</dcterms:created>
  <dcterms:modified xsi:type="dcterms:W3CDTF">2013-06-23T02:42:00Z</dcterms:modified>
</cp:coreProperties>
</file>